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10F5" w:rsidRDefault="00C210F5" w:rsidP="00C210F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документов</w:t>
      </w:r>
    </w:p>
    <w:p w:rsidR="00C210F5" w:rsidRDefault="00C210F5" w:rsidP="00C210F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Общему собранию членов Партнерства 17.12.2015г.</w:t>
      </w:r>
    </w:p>
    <w:tbl>
      <w:tblPr>
        <w:tblStyle w:val="a3"/>
        <w:tblW w:w="1544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85"/>
        <w:gridCol w:w="3768"/>
        <w:gridCol w:w="3969"/>
        <w:gridCol w:w="971"/>
        <w:gridCol w:w="2290"/>
        <w:gridCol w:w="2327"/>
        <w:gridCol w:w="1617"/>
        <w:gridCol w:w="16"/>
      </w:tblGrid>
      <w:tr w:rsidR="00C210F5" w:rsidTr="001432EE">
        <w:trPr>
          <w:tblHeader/>
        </w:trPr>
        <w:tc>
          <w:tcPr>
            <w:tcW w:w="485" w:type="dxa"/>
          </w:tcPr>
          <w:p w:rsidR="00C210F5" w:rsidRDefault="00C210F5" w:rsidP="00DA78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768" w:type="dxa"/>
          </w:tcPr>
          <w:p w:rsidR="00C210F5" w:rsidRDefault="00C210F5" w:rsidP="00DA78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Документ</w:t>
            </w:r>
          </w:p>
        </w:tc>
        <w:tc>
          <w:tcPr>
            <w:tcW w:w="3969" w:type="dxa"/>
          </w:tcPr>
          <w:p w:rsidR="00C210F5" w:rsidRDefault="00C210F5" w:rsidP="00DA78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Старая редакция</w:t>
            </w:r>
          </w:p>
        </w:tc>
        <w:tc>
          <w:tcPr>
            <w:tcW w:w="7221" w:type="dxa"/>
            <w:gridSpan w:val="5"/>
          </w:tcPr>
          <w:p w:rsidR="00C210F5" w:rsidRDefault="00C210F5" w:rsidP="00DA78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Изменения (новая редакция)</w:t>
            </w:r>
          </w:p>
        </w:tc>
      </w:tr>
      <w:tr w:rsidR="00C210F5" w:rsidTr="001432EE">
        <w:tc>
          <w:tcPr>
            <w:tcW w:w="485" w:type="dxa"/>
          </w:tcPr>
          <w:p w:rsidR="00C210F5" w:rsidRDefault="00C210F5" w:rsidP="00DA78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68" w:type="dxa"/>
          </w:tcPr>
          <w:p w:rsidR="00C210F5" w:rsidRDefault="00C210F5" w:rsidP="00DA78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Положение о членстве</w:t>
            </w:r>
          </w:p>
        </w:tc>
        <w:tc>
          <w:tcPr>
            <w:tcW w:w="3969" w:type="dxa"/>
          </w:tcPr>
          <w:p w:rsidR="00C210F5" w:rsidRDefault="00C210F5" w:rsidP="00DA78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1)П. 2.2 по тексту Положения</w:t>
            </w:r>
          </w:p>
          <w:p w:rsidR="00C210F5" w:rsidRDefault="00C210F5" w:rsidP="00DA78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10F5" w:rsidRDefault="00C210F5" w:rsidP="00DA78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10F5" w:rsidRDefault="00C210F5" w:rsidP="00DA78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10F5" w:rsidRDefault="00C210F5" w:rsidP="00DA78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10F5" w:rsidRDefault="00C210F5" w:rsidP="00DA78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 Дополнить сведениями о хранении дел членов СРО (в тексте положения отсутствует)</w:t>
            </w:r>
          </w:p>
          <w:p w:rsidR="00C210F5" w:rsidRDefault="00C210F5" w:rsidP="00DA78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1" w:type="dxa"/>
            <w:gridSpan w:val="5"/>
          </w:tcPr>
          <w:p w:rsidR="00C210F5" w:rsidRDefault="00C210F5" w:rsidP="00DA78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1) Дополнить п. 2.2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«ж» следующего содержания:</w:t>
            </w:r>
          </w:p>
          <w:p w:rsidR="00C210F5" w:rsidRDefault="00C210F5" w:rsidP="00DA78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«ж)</w:t>
            </w:r>
            <w:r w:rsidRPr="00C210F5">
              <w:rPr>
                <w:rFonts w:ascii="Times New Roman" w:hAnsi="Times New Roman" w:cs="Times New Roman"/>
                <w:sz w:val="28"/>
                <w:szCs w:val="28"/>
              </w:rPr>
              <w:t xml:space="preserve"> неоднократного в течение одного года привлечения члена саморегулируемой организации к ответственности за нарушение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миграционного законодательства».</w:t>
            </w:r>
          </w:p>
          <w:p w:rsidR="00C210F5" w:rsidRPr="001432EE" w:rsidRDefault="00C210F5" w:rsidP="00DA78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10F5" w:rsidRDefault="00C210F5" w:rsidP="00DA78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32EE"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Дополнить Раздел 2.1 следующего содержания: </w:t>
            </w:r>
          </w:p>
          <w:p w:rsidR="00C210F5" w:rsidRDefault="00C210F5" w:rsidP="00C210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 ХРАНЕНИЕ ДЕЛ ЧЛЕНОВ ПАРТНЕРСТВА</w:t>
            </w:r>
          </w:p>
          <w:p w:rsidR="00C210F5" w:rsidRPr="00C210F5" w:rsidRDefault="00C210F5" w:rsidP="00C210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2.1.1 Партнерство</w:t>
            </w:r>
            <w:r w:rsidRPr="00C210F5">
              <w:rPr>
                <w:rFonts w:ascii="Times New Roman" w:hAnsi="Times New Roman" w:cs="Times New Roman"/>
                <w:sz w:val="28"/>
                <w:szCs w:val="28"/>
              </w:rPr>
              <w:t xml:space="preserve"> в отношении каждого лица, принятого в члены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Партнерства</w:t>
            </w:r>
            <w:r w:rsidRPr="00C210F5">
              <w:rPr>
                <w:rFonts w:ascii="Times New Roman" w:hAnsi="Times New Roman" w:cs="Times New Roman"/>
                <w:sz w:val="28"/>
                <w:szCs w:val="28"/>
              </w:rPr>
              <w:t xml:space="preserve">, ведет дело члена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Партнерства</w:t>
            </w:r>
            <w:r w:rsidRPr="00C210F5">
              <w:rPr>
                <w:rFonts w:ascii="Times New Roman" w:hAnsi="Times New Roman" w:cs="Times New Roman"/>
                <w:sz w:val="28"/>
                <w:szCs w:val="28"/>
              </w:rPr>
              <w:t>. В состав такого дела входят:</w:t>
            </w:r>
          </w:p>
          <w:p w:rsidR="00C210F5" w:rsidRPr="00C210F5" w:rsidRDefault="00C210F5" w:rsidP="00C210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10F5">
              <w:rPr>
                <w:rFonts w:ascii="Times New Roman" w:hAnsi="Times New Roman" w:cs="Times New Roman"/>
                <w:sz w:val="28"/>
                <w:szCs w:val="28"/>
              </w:rPr>
              <w:t xml:space="preserve">1) документы, представленные для приема в члены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Партнерства</w:t>
            </w:r>
            <w:r w:rsidRPr="00C210F5">
              <w:rPr>
                <w:rFonts w:ascii="Times New Roman" w:hAnsi="Times New Roman" w:cs="Times New Roman"/>
                <w:sz w:val="28"/>
                <w:szCs w:val="28"/>
              </w:rPr>
              <w:t xml:space="preserve"> и выдачи свидетельства о допуске к работам, которые оказывают влияние на безопасность объектов капитального строительства;</w:t>
            </w:r>
          </w:p>
          <w:p w:rsidR="00C210F5" w:rsidRPr="00C210F5" w:rsidRDefault="00C210F5" w:rsidP="00C210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10F5">
              <w:rPr>
                <w:rFonts w:ascii="Times New Roman" w:hAnsi="Times New Roman" w:cs="Times New Roman"/>
                <w:sz w:val="28"/>
                <w:szCs w:val="28"/>
              </w:rPr>
              <w:t xml:space="preserve">2) документы, представленные для внесения изменений в свидетельство о допуске к определенному виду или видам работ, которые оказывают влияние на безопасность объектов капитального строительства, для приостановления, возобновления, прекращения действия данного свидетельства, добровольного выхода члена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Партнерства</w:t>
            </w:r>
            <w:r w:rsidRPr="00C210F5">
              <w:rPr>
                <w:rFonts w:ascii="Times New Roman" w:hAnsi="Times New Roman" w:cs="Times New Roman"/>
                <w:sz w:val="28"/>
                <w:szCs w:val="28"/>
              </w:rPr>
              <w:t xml:space="preserve"> из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Партнерства</w:t>
            </w:r>
            <w:r w:rsidRPr="00C210F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210F5" w:rsidRPr="00C210F5" w:rsidRDefault="00C210F5" w:rsidP="00C210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10F5">
              <w:rPr>
                <w:rFonts w:ascii="Times New Roman" w:hAnsi="Times New Roman" w:cs="Times New Roman"/>
                <w:sz w:val="28"/>
                <w:szCs w:val="28"/>
              </w:rPr>
              <w:t xml:space="preserve">3) документы о результатах осуществления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Партнерством </w:t>
            </w:r>
            <w:r w:rsidRPr="00C210F5">
              <w:rPr>
                <w:rFonts w:ascii="Times New Roman" w:hAnsi="Times New Roman" w:cs="Times New Roman"/>
                <w:sz w:val="28"/>
                <w:szCs w:val="28"/>
              </w:rPr>
              <w:t>контроля за деятельностью члена такой организации;</w:t>
            </w:r>
          </w:p>
          <w:p w:rsidR="00C210F5" w:rsidRPr="00C210F5" w:rsidRDefault="00C210F5" w:rsidP="00C210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10F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4) документы о мерах дисциплинарного воздействия, принятых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Партнерством</w:t>
            </w:r>
            <w:r w:rsidRPr="00C210F5">
              <w:rPr>
                <w:rFonts w:ascii="Times New Roman" w:hAnsi="Times New Roman" w:cs="Times New Roman"/>
                <w:sz w:val="28"/>
                <w:szCs w:val="28"/>
              </w:rPr>
              <w:t xml:space="preserve"> в отношении члена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Партнерства</w:t>
            </w:r>
            <w:r w:rsidRPr="00C210F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210F5" w:rsidRDefault="00C210F5" w:rsidP="00C210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10F5">
              <w:rPr>
                <w:rFonts w:ascii="Times New Roman" w:hAnsi="Times New Roman" w:cs="Times New Roman"/>
                <w:sz w:val="28"/>
                <w:szCs w:val="28"/>
              </w:rPr>
              <w:t xml:space="preserve">5) иные документы в соответствии с решением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Общего собрания членов Партнерства</w:t>
            </w:r>
            <w:r w:rsidRPr="00C210F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210F5" w:rsidRPr="00C210F5" w:rsidRDefault="00C210F5" w:rsidP="00C210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2.1.2. </w:t>
            </w:r>
            <w:r w:rsidRPr="00C210F5">
              <w:rPr>
                <w:rFonts w:ascii="Times New Roman" w:hAnsi="Times New Roman" w:cs="Times New Roman"/>
                <w:sz w:val="28"/>
                <w:szCs w:val="28"/>
              </w:rPr>
              <w:t xml:space="preserve">Дела членов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Партнерства</w:t>
            </w:r>
            <w:r w:rsidRPr="00C210F5">
              <w:rPr>
                <w:rFonts w:ascii="Times New Roman" w:hAnsi="Times New Roman" w:cs="Times New Roman"/>
                <w:sz w:val="28"/>
                <w:szCs w:val="28"/>
              </w:rPr>
              <w:t xml:space="preserve">, а также дела лиц, членство которых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Партнерстве</w:t>
            </w:r>
            <w:r w:rsidRPr="00C210F5">
              <w:rPr>
                <w:rFonts w:ascii="Times New Roman" w:hAnsi="Times New Roman" w:cs="Times New Roman"/>
                <w:sz w:val="28"/>
                <w:szCs w:val="28"/>
              </w:rPr>
              <w:t xml:space="preserve"> прекращено, подлежат бессрочному хранению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Партнерстве</w:t>
            </w:r>
            <w:r w:rsidRPr="00C210F5">
              <w:rPr>
                <w:rFonts w:ascii="Times New Roman" w:hAnsi="Times New Roman" w:cs="Times New Roman"/>
                <w:sz w:val="28"/>
                <w:szCs w:val="28"/>
              </w:rPr>
              <w:t xml:space="preserve">. В случае исключения сведений 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Партнерстве</w:t>
            </w:r>
            <w:r w:rsidRPr="00C210F5">
              <w:rPr>
                <w:rFonts w:ascii="Times New Roman" w:hAnsi="Times New Roman" w:cs="Times New Roman"/>
                <w:sz w:val="28"/>
                <w:szCs w:val="28"/>
              </w:rPr>
              <w:t xml:space="preserve"> из государственного реестра саморегулируемых организаций указанные дела подлежат передаче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Национальное объединение проектировщиков и изыскателей</w:t>
            </w:r>
            <w:r w:rsidRPr="00C210F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210F5" w:rsidTr="001432EE">
        <w:tc>
          <w:tcPr>
            <w:tcW w:w="485" w:type="dxa"/>
          </w:tcPr>
          <w:p w:rsidR="00C210F5" w:rsidRDefault="00C210F5" w:rsidP="00DA78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3768" w:type="dxa"/>
          </w:tcPr>
          <w:p w:rsidR="00DE4545" w:rsidRPr="00DE4545" w:rsidRDefault="00DE4545" w:rsidP="00DE45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4545">
              <w:rPr>
                <w:rFonts w:ascii="Times New Roman" w:hAnsi="Times New Roman" w:cs="Times New Roman"/>
                <w:sz w:val="28"/>
                <w:szCs w:val="28"/>
              </w:rPr>
              <w:t>ТИПОВОЕ ПОЛОЖЕНИЕ</w:t>
            </w:r>
          </w:p>
          <w:p w:rsidR="00DE4545" w:rsidRPr="00DE4545" w:rsidRDefault="00DE4545" w:rsidP="00DE45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4545">
              <w:rPr>
                <w:rFonts w:ascii="Times New Roman" w:hAnsi="Times New Roman" w:cs="Times New Roman"/>
                <w:sz w:val="28"/>
                <w:szCs w:val="28"/>
              </w:rPr>
              <w:t xml:space="preserve">об аттестации руководителей и специалистов организаций, </w:t>
            </w:r>
          </w:p>
          <w:p w:rsidR="00DE4545" w:rsidRPr="00DE4545" w:rsidRDefault="00DE4545" w:rsidP="00DE45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4545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осуществляющих подготовку проектной документации </w:t>
            </w:r>
          </w:p>
          <w:p w:rsidR="00DE4545" w:rsidRPr="00DE4545" w:rsidRDefault="00DE4545" w:rsidP="00DE45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4545">
              <w:rPr>
                <w:rFonts w:ascii="Times New Roman" w:hAnsi="Times New Roman" w:cs="Times New Roman"/>
                <w:sz w:val="28"/>
                <w:szCs w:val="28"/>
              </w:rPr>
              <w:t xml:space="preserve">особо опасных и технически сложных объектов капитального строительства </w:t>
            </w:r>
          </w:p>
          <w:p w:rsidR="00DE4545" w:rsidRPr="00DE4545" w:rsidRDefault="00DE4545" w:rsidP="00DE45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4545">
              <w:rPr>
                <w:rFonts w:ascii="Times New Roman" w:hAnsi="Times New Roman" w:cs="Times New Roman"/>
                <w:sz w:val="28"/>
                <w:szCs w:val="28"/>
              </w:rPr>
              <w:t xml:space="preserve">и подлежащих аттестации по правилам, устанавливаемым Федеральной службой по </w:t>
            </w:r>
            <w:proofErr w:type="gramStart"/>
            <w:r w:rsidRPr="00DE4545">
              <w:rPr>
                <w:rFonts w:ascii="Times New Roman" w:hAnsi="Times New Roman" w:cs="Times New Roman"/>
                <w:sz w:val="28"/>
                <w:szCs w:val="28"/>
              </w:rPr>
              <w:t>экологи-</w:t>
            </w:r>
            <w:proofErr w:type="spellStart"/>
            <w:r w:rsidRPr="00DE4545">
              <w:rPr>
                <w:rFonts w:ascii="Times New Roman" w:hAnsi="Times New Roman" w:cs="Times New Roman"/>
                <w:sz w:val="28"/>
                <w:szCs w:val="28"/>
              </w:rPr>
              <w:t>ческому</w:t>
            </w:r>
            <w:proofErr w:type="spellEnd"/>
            <w:proofErr w:type="gramEnd"/>
            <w:r w:rsidRPr="00DE4545">
              <w:rPr>
                <w:rFonts w:ascii="Times New Roman" w:hAnsi="Times New Roman" w:cs="Times New Roman"/>
                <w:sz w:val="28"/>
                <w:szCs w:val="28"/>
              </w:rPr>
              <w:t xml:space="preserve">, технологическому и атомному надзору </w:t>
            </w:r>
          </w:p>
          <w:p w:rsidR="00C210F5" w:rsidRDefault="00DE4545" w:rsidP="00DE45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45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(кроме объектов использования атомной энергии)</w:t>
            </w:r>
          </w:p>
        </w:tc>
        <w:tc>
          <w:tcPr>
            <w:tcW w:w="3969" w:type="dxa"/>
          </w:tcPr>
          <w:p w:rsidR="00C210F5" w:rsidRDefault="00C210F5" w:rsidP="00DA78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Приведение в соответствие с Приказом № 37 Ростехнадзора от 29.01.2007г.</w:t>
            </w:r>
          </w:p>
        </w:tc>
        <w:tc>
          <w:tcPr>
            <w:tcW w:w="7221" w:type="dxa"/>
            <w:gridSpan w:val="5"/>
          </w:tcPr>
          <w:p w:rsidR="00C210F5" w:rsidRDefault="006144C1" w:rsidP="00DA78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Принять в новой редакции</w:t>
            </w:r>
          </w:p>
        </w:tc>
      </w:tr>
      <w:tr w:rsidR="00C210F5" w:rsidTr="001432EE">
        <w:tc>
          <w:tcPr>
            <w:tcW w:w="485" w:type="dxa"/>
          </w:tcPr>
          <w:p w:rsidR="00C210F5" w:rsidRDefault="00C210F5" w:rsidP="00DA78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3768" w:type="dxa"/>
          </w:tcPr>
          <w:p w:rsidR="00C210F5" w:rsidRDefault="007345A6" w:rsidP="007345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45A6">
              <w:rPr>
                <w:rFonts w:ascii="Times New Roman" w:hAnsi="Times New Roman" w:cs="Times New Roman"/>
                <w:sz w:val="28"/>
                <w:szCs w:val="28"/>
              </w:rPr>
              <w:t>Правила контроля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345A6">
              <w:rPr>
                <w:rFonts w:ascii="Times New Roman" w:hAnsi="Times New Roman" w:cs="Times New Roman"/>
                <w:sz w:val="28"/>
                <w:szCs w:val="28"/>
              </w:rPr>
              <w:t>в области саморегулирования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345A6">
              <w:rPr>
                <w:rFonts w:ascii="Times New Roman" w:hAnsi="Times New Roman" w:cs="Times New Roman"/>
                <w:sz w:val="28"/>
                <w:szCs w:val="28"/>
              </w:rPr>
              <w:t>Положение о Контрольной комиссии Некоммерческого партнерства «Проектный комплекс «Нижняя Волга»</w:t>
            </w:r>
          </w:p>
        </w:tc>
        <w:tc>
          <w:tcPr>
            <w:tcW w:w="3969" w:type="dxa"/>
          </w:tcPr>
          <w:p w:rsidR="00C210F5" w:rsidRDefault="00C210F5" w:rsidP="007345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  <w:r w:rsidR="006144C1">
              <w:rPr>
                <w:rFonts w:ascii="Times New Roman" w:hAnsi="Times New Roman" w:cs="Times New Roman"/>
                <w:sz w:val="28"/>
                <w:szCs w:val="28"/>
              </w:rPr>
              <w:t xml:space="preserve">П. </w:t>
            </w:r>
            <w:r w:rsidR="006144C1" w:rsidRPr="006144C1">
              <w:rPr>
                <w:rFonts w:ascii="Times New Roman" w:hAnsi="Times New Roman" w:cs="Times New Roman"/>
                <w:sz w:val="28"/>
                <w:szCs w:val="28"/>
              </w:rPr>
              <w:t>5.2. Число контролеров Партнерства составляет не менее 1 (</w:t>
            </w:r>
            <w:r w:rsidR="007345A6">
              <w:rPr>
                <w:rFonts w:ascii="Times New Roman" w:hAnsi="Times New Roman" w:cs="Times New Roman"/>
                <w:sz w:val="28"/>
                <w:szCs w:val="28"/>
              </w:rPr>
              <w:t>одного) контролера на 15 (пятна</w:t>
            </w:r>
            <w:r w:rsidR="006144C1" w:rsidRPr="006144C1">
              <w:rPr>
                <w:rFonts w:ascii="Times New Roman" w:hAnsi="Times New Roman" w:cs="Times New Roman"/>
                <w:sz w:val="28"/>
                <w:szCs w:val="28"/>
              </w:rPr>
              <w:t>дцать) членов Партнерства.</w:t>
            </w:r>
          </w:p>
          <w:p w:rsidR="007345A6" w:rsidRDefault="007345A6" w:rsidP="00DA78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10F5" w:rsidRDefault="00C210F5" w:rsidP="00DA78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="007345A6">
              <w:rPr>
                <w:rFonts w:ascii="Times New Roman" w:hAnsi="Times New Roman" w:cs="Times New Roman"/>
                <w:sz w:val="28"/>
                <w:szCs w:val="28"/>
              </w:rPr>
              <w:t xml:space="preserve">П. </w:t>
            </w:r>
            <w:r w:rsidR="007345A6" w:rsidRPr="007345A6">
              <w:rPr>
                <w:rFonts w:ascii="Times New Roman" w:hAnsi="Times New Roman" w:cs="Times New Roman"/>
                <w:sz w:val="28"/>
                <w:szCs w:val="28"/>
              </w:rPr>
              <w:t xml:space="preserve">6.1. Состав Контрольной комиссии Партнерства формируется Коллегией Партнерства по представлению Председателя Коллегии Партнерства сроком на 12 </w:t>
            </w:r>
            <w:r w:rsidR="007345A6">
              <w:rPr>
                <w:rFonts w:ascii="Times New Roman" w:hAnsi="Times New Roman" w:cs="Times New Roman"/>
                <w:sz w:val="28"/>
                <w:szCs w:val="28"/>
              </w:rPr>
              <w:t>(двенадцать) месяцев и утвержда</w:t>
            </w:r>
            <w:r w:rsidR="007345A6" w:rsidRPr="007345A6">
              <w:rPr>
                <w:rFonts w:ascii="Times New Roman" w:hAnsi="Times New Roman" w:cs="Times New Roman"/>
                <w:sz w:val="28"/>
                <w:szCs w:val="28"/>
              </w:rPr>
              <w:t>ется Общим собранием членов Партнерства.</w:t>
            </w:r>
          </w:p>
          <w:p w:rsidR="007345A6" w:rsidRDefault="007345A6" w:rsidP="00DA78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7E49" w:rsidRDefault="00197E49" w:rsidP="00DA78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 П. 11.4 по тексту Положения</w:t>
            </w:r>
          </w:p>
          <w:p w:rsidR="00197E49" w:rsidRDefault="00197E49" w:rsidP="00DA78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5564" w:rsidRDefault="000A5564" w:rsidP="00DA78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5A6" w:rsidRPr="00F50E21" w:rsidRDefault="00197E49" w:rsidP="00DA78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345A6">
              <w:rPr>
                <w:rFonts w:ascii="Times New Roman" w:hAnsi="Times New Roman" w:cs="Times New Roman"/>
                <w:sz w:val="28"/>
                <w:szCs w:val="28"/>
              </w:rPr>
              <w:t>) П. 12.1 по тексту Положения</w:t>
            </w:r>
          </w:p>
        </w:tc>
        <w:tc>
          <w:tcPr>
            <w:tcW w:w="7221" w:type="dxa"/>
            <w:gridSpan w:val="5"/>
          </w:tcPr>
          <w:p w:rsidR="00C210F5" w:rsidRDefault="007345A6" w:rsidP="007345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  <w:r w:rsidRPr="007345A6">
              <w:rPr>
                <w:rFonts w:ascii="Times New Roman" w:hAnsi="Times New Roman" w:cs="Times New Roman"/>
                <w:sz w:val="28"/>
                <w:szCs w:val="28"/>
              </w:rPr>
              <w:t xml:space="preserve">5.2. Число контролеров Партнерства составляет не менее 1 (одного) контролера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  <w:r w:rsidRPr="007345A6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тридцать пять</w:t>
            </w:r>
            <w:r w:rsidRPr="007345A6">
              <w:rPr>
                <w:rFonts w:ascii="Times New Roman" w:hAnsi="Times New Roman" w:cs="Times New Roman"/>
                <w:sz w:val="28"/>
                <w:szCs w:val="28"/>
              </w:rPr>
              <w:t>) членов Партнерства.</w:t>
            </w:r>
          </w:p>
          <w:p w:rsidR="007345A6" w:rsidRDefault="007345A6" w:rsidP="007345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5A6" w:rsidRDefault="007345A6" w:rsidP="007345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5A6" w:rsidRDefault="007345A6" w:rsidP="007345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5A6" w:rsidRDefault="007345A6" w:rsidP="007345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Pr="007345A6">
              <w:rPr>
                <w:rFonts w:ascii="Times New Roman" w:hAnsi="Times New Roman" w:cs="Times New Roman"/>
                <w:sz w:val="28"/>
                <w:szCs w:val="28"/>
              </w:rPr>
              <w:t xml:space="preserve">6.1. Состав Контрольной комиссии Партнерства формируется Коллегией Партнерства по представлению Председателя Коллегии Партнерства сроком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7345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(два) года и утвержда</w:t>
            </w:r>
            <w:r w:rsidRPr="007345A6">
              <w:rPr>
                <w:rFonts w:ascii="Times New Roman" w:hAnsi="Times New Roman" w:cs="Times New Roman"/>
                <w:sz w:val="28"/>
                <w:szCs w:val="28"/>
              </w:rPr>
              <w:t>ется Общим собранием членов Партнерства.</w:t>
            </w:r>
          </w:p>
          <w:p w:rsidR="007345A6" w:rsidRDefault="007345A6" w:rsidP="007345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5A6" w:rsidRDefault="007345A6" w:rsidP="007345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5A6" w:rsidRDefault="007345A6" w:rsidP="007345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5A6" w:rsidRDefault="007345A6" w:rsidP="007345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5A6" w:rsidRDefault="007345A6" w:rsidP="007345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5564" w:rsidRDefault="000A5564" w:rsidP="00197E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7E49" w:rsidRDefault="00197E49" w:rsidP="00197E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 Исключить текст «</w:t>
            </w:r>
            <w:r w:rsidRPr="00197E49">
              <w:rPr>
                <w:rFonts w:ascii="Times New Roman" w:hAnsi="Times New Roman" w:cs="Times New Roman"/>
                <w:sz w:val="28"/>
                <w:szCs w:val="28"/>
              </w:rPr>
              <w:t>а также членами Контрольной комиссии, принимавшими уча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стие в контрольных мероприятиях».</w:t>
            </w:r>
          </w:p>
          <w:p w:rsidR="00197E49" w:rsidRDefault="00197E49" w:rsidP="00197E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5A6" w:rsidRDefault="00197E49" w:rsidP="00197E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345A6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Изложить в следующей редакции</w:t>
            </w:r>
            <w:r w:rsidR="007345A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197E49" w:rsidRPr="00197E49" w:rsidRDefault="007345A6" w:rsidP="00197E4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97E49" w:rsidRPr="00197E49">
              <w:rPr>
                <w:rFonts w:ascii="Times New Roman" w:hAnsi="Times New Roman" w:cs="Times New Roman"/>
                <w:sz w:val="28"/>
                <w:szCs w:val="28"/>
              </w:rPr>
              <w:t xml:space="preserve">Копия решения о начале процедуры проверки направляется Контрольной комиссией письмом с </w:t>
            </w:r>
            <w:r w:rsidR="00197E49" w:rsidRPr="00197E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уведомлением о вручении в адрес заявителя и проверяемого лица,</w:t>
            </w:r>
            <w:r w:rsidR="00197E49">
              <w:rPr>
                <w:rFonts w:ascii="Times New Roman" w:hAnsi="Times New Roman" w:cs="Times New Roman"/>
                <w:sz w:val="28"/>
                <w:szCs w:val="28"/>
              </w:rPr>
              <w:t xml:space="preserve"> либо направляется по электронной почте,</w:t>
            </w:r>
            <w:r w:rsidR="00197E49" w:rsidRPr="00197E49">
              <w:rPr>
                <w:rFonts w:ascii="Times New Roman" w:hAnsi="Times New Roman" w:cs="Times New Roman"/>
                <w:sz w:val="28"/>
                <w:szCs w:val="28"/>
              </w:rPr>
              <w:t xml:space="preserve"> либ</w:t>
            </w:r>
            <w:r w:rsidR="00197E49">
              <w:rPr>
                <w:rFonts w:ascii="Times New Roman" w:hAnsi="Times New Roman" w:cs="Times New Roman"/>
                <w:sz w:val="28"/>
                <w:szCs w:val="28"/>
              </w:rPr>
              <w:t>о вручается под роспись. В реше</w:t>
            </w:r>
            <w:r w:rsidR="00197E49" w:rsidRPr="00197E49">
              <w:rPr>
                <w:rFonts w:ascii="Times New Roman" w:hAnsi="Times New Roman" w:cs="Times New Roman"/>
                <w:sz w:val="28"/>
                <w:szCs w:val="28"/>
              </w:rPr>
              <w:t>нии о назначении проверки могут быть указаны действия, которые необходимо совершить (например, предоставить дополнительные документы, отзыв на жалобу и пр.), а также сообщено время и место итогового заседания Контрольной комиссии.</w:t>
            </w:r>
          </w:p>
          <w:p w:rsidR="007345A6" w:rsidRDefault="007345A6" w:rsidP="00197E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случае проведения внеплановых проверок по вопросам своевременности уплаты членских взносов и заключения договоров страхования гражданской ответственности </w:t>
            </w:r>
            <w:r w:rsidR="00197E49">
              <w:rPr>
                <w:rFonts w:ascii="Times New Roman" w:hAnsi="Times New Roman" w:cs="Times New Roman"/>
                <w:sz w:val="28"/>
                <w:szCs w:val="28"/>
              </w:rPr>
              <w:t>решение о начале процедуры проверки проверяемым лицам не направляется».</w:t>
            </w:r>
          </w:p>
        </w:tc>
      </w:tr>
      <w:tr w:rsidR="00C210F5" w:rsidTr="001432EE">
        <w:tc>
          <w:tcPr>
            <w:tcW w:w="485" w:type="dxa"/>
          </w:tcPr>
          <w:p w:rsidR="00C210F5" w:rsidRDefault="00C210F5" w:rsidP="00DA78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3768" w:type="dxa"/>
          </w:tcPr>
          <w:p w:rsidR="00197E49" w:rsidRPr="00197E49" w:rsidRDefault="00197E49" w:rsidP="00197E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E49">
              <w:rPr>
                <w:rFonts w:ascii="Times New Roman" w:hAnsi="Times New Roman" w:cs="Times New Roman"/>
                <w:sz w:val="28"/>
                <w:szCs w:val="28"/>
              </w:rPr>
              <w:t>Положение</w:t>
            </w:r>
          </w:p>
          <w:p w:rsidR="00197E49" w:rsidRPr="00197E49" w:rsidRDefault="00197E49" w:rsidP="00197E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E49">
              <w:rPr>
                <w:rFonts w:ascii="Times New Roman" w:hAnsi="Times New Roman" w:cs="Times New Roman"/>
                <w:sz w:val="28"/>
                <w:szCs w:val="28"/>
              </w:rPr>
              <w:t xml:space="preserve">о дисциплинарной ответственности членов </w:t>
            </w:r>
          </w:p>
          <w:p w:rsidR="00197E49" w:rsidRPr="00197E49" w:rsidRDefault="00197E49" w:rsidP="00197E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E49">
              <w:rPr>
                <w:rFonts w:ascii="Times New Roman" w:hAnsi="Times New Roman" w:cs="Times New Roman"/>
                <w:sz w:val="28"/>
                <w:szCs w:val="28"/>
              </w:rPr>
              <w:t xml:space="preserve">Некоммерческого партнерства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Саморегулируемая организация</w:t>
            </w:r>
          </w:p>
          <w:p w:rsidR="00197E49" w:rsidRPr="00197E49" w:rsidRDefault="00197E49" w:rsidP="00197E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E49">
              <w:rPr>
                <w:rFonts w:ascii="Times New Roman" w:hAnsi="Times New Roman" w:cs="Times New Roman"/>
                <w:sz w:val="28"/>
                <w:szCs w:val="28"/>
              </w:rPr>
              <w:t xml:space="preserve">«Проектный комплекс «Нижняя Волга» </w:t>
            </w:r>
          </w:p>
          <w:p w:rsidR="00197E49" w:rsidRPr="00197E49" w:rsidRDefault="00197E49" w:rsidP="00197E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E49">
              <w:rPr>
                <w:rFonts w:ascii="Times New Roman" w:hAnsi="Times New Roman" w:cs="Times New Roman"/>
                <w:sz w:val="28"/>
                <w:szCs w:val="28"/>
              </w:rPr>
              <w:t xml:space="preserve">и о Дисциплинарной комиссии </w:t>
            </w:r>
          </w:p>
          <w:p w:rsidR="00C210F5" w:rsidRDefault="00197E49" w:rsidP="00197E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E49">
              <w:rPr>
                <w:rFonts w:ascii="Times New Roman" w:hAnsi="Times New Roman" w:cs="Times New Roman"/>
                <w:sz w:val="28"/>
                <w:szCs w:val="28"/>
              </w:rPr>
              <w:t>Некоммерческого партнерства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Саморегулируемая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организация</w:t>
            </w:r>
            <w:r w:rsidRPr="00197E49">
              <w:rPr>
                <w:rFonts w:ascii="Times New Roman" w:hAnsi="Times New Roman" w:cs="Times New Roman"/>
                <w:sz w:val="28"/>
                <w:szCs w:val="28"/>
              </w:rPr>
              <w:t xml:space="preserve"> «Проектный комплекс «Нижняя Волга»</w:t>
            </w:r>
          </w:p>
        </w:tc>
        <w:tc>
          <w:tcPr>
            <w:tcW w:w="3969" w:type="dxa"/>
          </w:tcPr>
          <w:p w:rsidR="00C210F5" w:rsidRDefault="00C210F5" w:rsidP="00197E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1) </w:t>
            </w:r>
            <w:r w:rsidR="00197E49">
              <w:rPr>
                <w:rFonts w:ascii="Times New Roman" w:hAnsi="Times New Roman" w:cs="Times New Roman"/>
                <w:sz w:val="28"/>
                <w:szCs w:val="28"/>
              </w:rPr>
              <w:t>П. 6.1. по тексту Положения</w:t>
            </w:r>
          </w:p>
          <w:p w:rsidR="00197E49" w:rsidRDefault="00197E49" w:rsidP="00DA78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7E49" w:rsidRDefault="00197E49" w:rsidP="00DA78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7E49" w:rsidRDefault="00197E49" w:rsidP="00DA78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7E49" w:rsidRDefault="00197E49" w:rsidP="00DA78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7E49" w:rsidRDefault="00197E49" w:rsidP="00DA78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7E49" w:rsidRDefault="00197E49" w:rsidP="00DA78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50F" w:rsidRDefault="00197E49" w:rsidP="00DA78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210F5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87250F">
              <w:rPr>
                <w:rFonts w:ascii="Times New Roman" w:hAnsi="Times New Roman" w:cs="Times New Roman"/>
                <w:sz w:val="28"/>
                <w:szCs w:val="28"/>
              </w:rPr>
              <w:t>П. 3.3. по тексту Положения</w:t>
            </w:r>
          </w:p>
          <w:p w:rsidR="0087250F" w:rsidRDefault="0087250F" w:rsidP="00DA78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ED7" w:rsidRDefault="00425ED7" w:rsidP="00DA78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ED7" w:rsidRDefault="00425ED7" w:rsidP="00DA78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ED7" w:rsidRDefault="00425ED7" w:rsidP="00DA78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ED7" w:rsidRDefault="00425ED7" w:rsidP="00DA78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ED7" w:rsidRDefault="00425ED7" w:rsidP="00DA78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ED7" w:rsidRDefault="00425ED7" w:rsidP="00DA78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ED7" w:rsidRDefault="00425ED7" w:rsidP="00DA78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ED7" w:rsidRDefault="00425ED7" w:rsidP="00DA78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ED7" w:rsidRDefault="00425ED7" w:rsidP="00DA78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ED7" w:rsidRDefault="00425ED7" w:rsidP="00DA78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ED7" w:rsidRDefault="00425ED7" w:rsidP="00DA78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ED7" w:rsidRDefault="00425ED7" w:rsidP="00DA78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ED7" w:rsidRDefault="00425ED7" w:rsidP="00DA78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ED7" w:rsidRDefault="00425ED7" w:rsidP="00DA78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ED7" w:rsidRDefault="00425ED7" w:rsidP="00DA78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ED7" w:rsidRDefault="00425ED7" w:rsidP="00DA78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ED7" w:rsidRDefault="00425ED7" w:rsidP="00DA78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379F" w:rsidRDefault="0048379F" w:rsidP="00DA78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ED7" w:rsidRDefault="00425ED7" w:rsidP="00DA78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 П. 10.3 по тексту Положения</w:t>
            </w:r>
          </w:p>
          <w:p w:rsidR="00425ED7" w:rsidRDefault="00425ED7" w:rsidP="00DA78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ED7" w:rsidRDefault="00425ED7" w:rsidP="00DA78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ED7" w:rsidRDefault="00425ED7" w:rsidP="00DA78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ED7" w:rsidRDefault="00425ED7" w:rsidP="00DA78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ED7" w:rsidRDefault="00425ED7" w:rsidP="00DA78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ED7" w:rsidRDefault="00425ED7" w:rsidP="00DA78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ED7" w:rsidRDefault="00425ED7" w:rsidP="00DA78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ED7" w:rsidRDefault="00425ED7" w:rsidP="00DA78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ED7" w:rsidRDefault="00425ED7" w:rsidP="00DA78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ED7" w:rsidRDefault="00425ED7" w:rsidP="00DA78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ED7" w:rsidRDefault="00425ED7" w:rsidP="00DA78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ED7" w:rsidRDefault="00425ED7" w:rsidP="00DA78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ED7" w:rsidRDefault="00425ED7" w:rsidP="00DA78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ED7" w:rsidRDefault="00425ED7" w:rsidP="00DA78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379F" w:rsidRDefault="0048379F" w:rsidP="00DA78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ED7" w:rsidRDefault="00425ED7" w:rsidP="00DA78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 п. 11.3 по тексту Положения</w:t>
            </w:r>
          </w:p>
          <w:p w:rsidR="00425ED7" w:rsidRDefault="00425ED7" w:rsidP="00DA78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ED7" w:rsidRDefault="00425ED7" w:rsidP="00DA78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ED7" w:rsidRDefault="00425ED7" w:rsidP="00DA78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ED7" w:rsidRDefault="00425ED7" w:rsidP="00DA78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ED7" w:rsidRDefault="00425ED7" w:rsidP="00DA78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ED7" w:rsidRDefault="00425ED7" w:rsidP="00DA78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ED7" w:rsidRDefault="00425ED7" w:rsidP="00DA78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ED7" w:rsidRDefault="00425ED7" w:rsidP="00DA78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ED7" w:rsidRDefault="00425ED7" w:rsidP="00DA78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5) п. 11.5 по тексту Положения</w:t>
            </w:r>
          </w:p>
          <w:p w:rsidR="00425ED7" w:rsidRDefault="00425ED7" w:rsidP="00DA78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ED7" w:rsidRDefault="00425ED7" w:rsidP="00DA78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ED7" w:rsidRDefault="00425ED7" w:rsidP="00DA78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ED7" w:rsidRDefault="00425ED7" w:rsidP="00DA78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6) п. 11.6 по тексту Положения</w:t>
            </w:r>
          </w:p>
          <w:p w:rsidR="00425ED7" w:rsidRDefault="00425ED7" w:rsidP="00DA78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0ED3" w:rsidRDefault="00100ED3" w:rsidP="00DA78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0ED3" w:rsidRDefault="00100ED3" w:rsidP="00DA78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0ED3" w:rsidRDefault="00100ED3" w:rsidP="00DA78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0ED3" w:rsidRDefault="00100ED3" w:rsidP="00DA78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0ED3" w:rsidRDefault="00100ED3" w:rsidP="00DA78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0ED3" w:rsidRDefault="00100ED3" w:rsidP="00DA78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0ED3" w:rsidRDefault="00100ED3" w:rsidP="00DA78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0ED3" w:rsidRDefault="00100ED3" w:rsidP="00DA78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0ED3" w:rsidRDefault="00100ED3" w:rsidP="00DA78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0ED3" w:rsidRDefault="00100ED3" w:rsidP="00DA78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7) П. 3.5 по тексту Положения</w:t>
            </w:r>
          </w:p>
          <w:p w:rsidR="00F12F8E" w:rsidRDefault="00F12F8E" w:rsidP="00DA78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379F" w:rsidRDefault="0048379F" w:rsidP="00DA78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2F8E" w:rsidRDefault="00F12F8E" w:rsidP="00DA78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2F8E">
              <w:rPr>
                <w:rFonts w:ascii="Times New Roman" w:hAnsi="Times New Roman" w:cs="Times New Roman"/>
                <w:sz w:val="28"/>
                <w:szCs w:val="28"/>
              </w:rPr>
              <w:t xml:space="preserve">8)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«д» п. 3.3 по тексту Положения</w:t>
            </w:r>
          </w:p>
          <w:p w:rsidR="00F12F8E" w:rsidRDefault="00F12F8E" w:rsidP="00DA78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2F8E" w:rsidRDefault="00F12F8E" w:rsidP="00DA78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2F8E" w:rsidRDefault="00F12F8E" w:rsidP="00DA78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2F8E" w:rsidRPr="00F12F8E" w:rsidRDefault="00F12F8E" w:rsidP="00DA78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9) п. 3.4 по тексту Положения</w:t>
            </w:r>
          </w:p>
          <w:p w:rsidR="00C210F5" w:rsidRDefault="00C210F5" w:rsidP="00DA78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1" w:type="dxa"/>
            <w:gridSpan w:val="5"/>
          </w:tcPr>
          <w:p w:rsidR="00C210F5" w:rsidRDefault="00197E49" w:rsidP="00197E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1) П. 6.1 Положения изложить в следующей редакции: «</w:t>
            </w:r>
            <w:r w:rsidRPr="00197E49">
              <w:rPr>
                <w:rFonts w:ascii="Times New Roman" w:hAnsi="Times New Roman" w:cs="Times New Roman"/>
                <w:sz w:val="28"/>
                <w:szCs w:val="28"/>
              </w:rPr>
              <w:t>Состав Дисциплинарной комиссии Партнерства формируется 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ллегией Партнерства по представ</w:t>
            </w:r>
            <w:r w:rsidRPr="00197E49">
              <w:rPr>
                <w:rFonts w:ascii="Times New Roman" w:hAnsi="Times New Roman" w:cs="Times New Roman"/>
                <w:sz w:val="28"/>
                <w:szCs w:val="28"/>
              </w:rPr>
              <w:t xml:space="preserve">лению Председателя Коллегии Партнерства сроком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197E49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два) года и утверждается Об</w:t>
            </w:r>
            <w:r w:rsidRPr="00197E49">
              <w:rPr>
                <w:rFonts w:ascii="Times New Roman" w:hAnsi="Times New Roman" w:cs="Times New Roman"/>
                <w:sz w:val="28"/>
                <w:szCs w:val="28"/>
              </w:rPr>
              <w:t>щ</w:t>
            </w:r>
            <w:r w:rsidR="0087250F">
              <w:rPr>
                <w:rFonts w:ascii="Times New Roman" w:hAnsi="Times New Roman" w:cs="Times New Roman"/>
                <w:sz w:val="28"/>
                <w:szCs w:val="28"/>
              </w:rPr>
              <w:t>им собранием членов Партнерства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87250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7250F" w:rsidRDefault="0087250F" w:rsidP="00197E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50F" w:rsidRDefault="0087250F" w:rsidP="00197E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 Изложить в следующей редакции:</w:t>
            </w:r>
          </w:p>
          <w:p w:rsidR="0087250F" w:rsidRDefault="0087250F" w:rsidP="00197E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50F" w:rsidRPr="0087250F" w:rsidRDefault="0087250F" w:rsidP="00872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7250F">
              <w:rPr>
                <w:rFonts w:ascii="Times New Roman" w:hAnsi="Times New Roman" w:cs="Times New Roman"/>
                <w:sz w:val="28"/>
                <w:szCs w:val="28"/>
              </w:rPr>
              <w:t xml:space="preserve">3.3.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 применении</w:t>
            </w:r>
            <w:r w:rsidRPr="0087250F">
              <w:rPr>
                <w:rFonts w:ascii="Times New Roman" w:hAnsi="Times New Roman" w:cs="Times New Roman"/>
                <w:sz w:val="28"/>
                <w:szCs w:val="28"/>
              </w:rPr>
              <w:t xml:space="preserve"> мер дисциплинарного воздействия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Дисциплинарной комиссией</w:t>
            </w:r>
            <w:r w:rsidRPr="0087250F">
              <w:rPr>
                <w:rFonts w:ascii="Times New Roman" w:hAnsi="Times New Roman" w:cs="Times New Roman"/>
                <w:sz w:val="28"/>
                <w:szCs w:val="28"/>
              </w:rPr>
              <w:t xml:space="preserve"> применяются:</w:t>
            </w:r>
          </w:p>
          <w:p w:rsidR="0087250F" w:rsidRPr="0087250F" w:rsidRDefault="0087250F" w:rsidP="00872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250F">
              <w:rPr>
                <w:rFonts w:ascii="Times New Roman" w:hAnsi="Times New Roman" w:cs="Times New Roman"/>
                <w:sz w:val="28"/>
                <w:szCs w:val="28"/>
              </w:rPr>
              <w:t>а) вынесение предписания об обязательном устранении членом Партнерства выявленных нарушений в установленные сроки;</w:t>
            </w:r>
          </w:p>
          <w:p w:rsidR="0087250F" w:rsidRPr="0087250F" w:rsidRDefault="0087250F" w:rsidP="00872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25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б) вынесение члену Партнерства предупреждения;</w:t>
            </w:r>
          </w:p>
          <w:p w:rsidR="0087250F" w:rsidRPr="0087250F" w:rsidRDefault="0087250F" w:rsidP="00872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250F"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 заключения в Коллегию Партнерства о приостановлении</w:t>
            </w:r>
            <w:r w:rsidRPr="0087250F">
              <w:rPr>
                <w:rFonts w:ascii="Times New Roman" w:hAnsi="Times New Roman" w:cs="Times New Roman"/>
                <w:sz w:val="28"/>
                <w:szCs w:val="28"/>
              </w:rPr>
              <w:t xml:space="preserve"> действия Свидетельства, в отношении определенного вида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 видов ра</w:t>
            </w:r>
            <w:r w:rsidRPr="0087250F">
              <w:rPr>
                <w:rFonts w:ascii="Times New Roman" w:hAnsi="Times New Roman" w:cs="Times New Roman"/>
                <w:sz w:val="28"/>
                <w:szCs w:val="28"/>
              </w:rPr>
              <w:t>бот;</w:t>
            </w:r>
          </w:p>
          <w:p w:rsidR="0087250F" w:rsidRPr="0087250F" w:rsidRDefault="0087250F" w:rsidP="00872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250F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  <w:r w:rsidR="00DA1B89" w:rsidRPr="00DA1B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A1B89">
              <w:rPr>
                <w:rFonts w:ascii="Times New Roman" w:hAnsi="Times New Roman" w:cs="Times New Roman"/>
                <w:sz w:val="28"/>
                <w:szCs w:val="28"/>
              </w:rPr>
              <w:t>направление заключения в Коллегию Партнерства</w:t>
            </w:r>
            <w:r w:rsidR="00DA1B89" w:rsidRPr="00DA1B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A1B89">
              <w:rPr>
                <w:rFonts w:ascii="Times New Roman" w:hAnsi="Times New Roman" w:cs="Times New Roman"/>
                <w:sz w:val="28"/>
                <w:szCs w:val="28"/>
              </w:rPr>
              <w:t>о прекращении</w:t>
            </w:r>
            <w:r w:rsidRPr="0087250F">
              <w:rPr>
                <w:rFonts w:ascii="Times New Roman" w:hAnsi="Times New Roman" w:cs="Times New Roman"/>
                <w:sz w:val="28"/>
                <w:szCs w:val="28"/>
              </w:rPr>
              <w:t xml:space="preserve"> действия Свидетельства, в отношении определенного вида или видов работ;</w:t>
            </w:r>
          </w:p>
          <w:p w:rsidR="0087250F" w:rsidRDefault="0087250F" w:rsidP="00425E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250F">
              <w:rPr>
                <w:rFonts w:ascii="Times New Roman" w:hAnsi="Times New Roman" w:cs="Times New Roman"/>
                <w:sz w:val="28"/>
                <w:szCs w:val="28"/>
              </w:rPr>
              <w:t>д) направление в Общее собрание членов Партнерства представления об исключении из членов Партнерства</w:t>
            </w:r>
            <w:r w:rsidR="00425ED7">
              <w:rPr>
                <w:rFonts w:ascii="Times New Roman" w:hAnsi="Times New Roman" w:cs="Times New Roman"/>
                <w:sz w:val="28"/>
                <w:szCs w:val="28"/>
              </w:rPr>
              <w:t>, в Коллегию</w:t>
            </w:r>
            <w:r w:rsidR="00425ED7" w:rsidRPr="0087250F">
              <w:rPr>
                <w:rFonts w:ascii="Times New Roman" w:hAnsi="Times New Roman" w:cs="Times New Roman"/>
                <w:sz w:val="28"/>
                <w:szCs w:val="28"/>
              </w:rPr>
              <w:t xml:space="preserve"> Партнерства представления об исключении из членов Партнерства</w:t>
            </w:r>
            <w:r w:rsidR="00425ED7">
              <w:rPr>
                <w:rFonts w:ascii="Times New Roman" w:hAnsi="Times New Roman" w:cs="Times New Roman"/>
                <w:sz w:val="28"/>
                <w:szCs w:val="28"/>
              </w:rPr>
              <w:t xml:space="preserve"> в случаях, предусмотренных действующим законодательством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425ED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25ED7" w:rsidRDefault="00425ED7" w:rsidP="00425E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ED7" w:rsidRDefault="00425ED7" w:rsidP="00425E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3) П. 10.3 изложить в следующей редакции: </w:t>
            </w:r>
          </w:p>
          <w:p w:rsidR="00425ED7" w:rsidRDefault="00425ED7" w:rsidP="00425E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«10.3. </w:t>
            </w:r>
            <w:r w:rsidRPr="00425ED7">
              <w:rPr>
                <w:rFonts w:ascii="Times New Roman" w:hAnsi="Times New Roman" w:cs="Times New Roman"/>
                <w:sz w:val="28"/>
                <w:szCs w:val="28"/>
              </w:rPr>
              <w:t>Заседания Дисциплинарной комиссии Партнерства, являются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ткрытыми. В случае проведения заседаний Дисципли</w:t>
            </w:r>
            <w:r w:rsidRPr="00425ED7">
              <w:rPr>
                <w:rFonts w:ascii="Times New Roman" w:hAnsi="Times New Roman" w:cs="Times New Roman"/>
                <w:sz w:val="28"/>
                <w:szCs w:val="28"/>
              </w:rPr>
              <w:t>нарной комиссии Партнерства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вопросам рассмотрения жалоб на действия членов Партнерства, на них</w:t>
            </w:r>
            <w:r w:rsidRPr="00425ED7">
              <w:rPr>
                <w:rFonts w:ascii="Times New Roman" w:hAnsi="Times New Roman" w:cs="Times New Roman"/>
                <w:sz w:val="28"/>
                <w:szCs w:val="28"/>
              </w:rPr>
              <w:t xml:space="preserve"> приглаш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аются</w:t>
            </w:r>
            <w:r w:rsidRPr="00425ED7">
              <w:rPr>
                <w:rFonts w:ascii="Times New Roman" w:hAnsi="Times New Roman" w:cs="Times New Roman"/>
                <w:sz w:val="28"/>
                <w:szCs w:val="28"/>
              </w:rPr>
              <w:t xml:space="preserve"> лица,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заявлению которых или интере</w:t>
            </w:r>
            <w:r w:rsidRPr="00425ED7">
              <w:rPr>
                <w:rFonts w:ascii="Times New Roman" w:hAnsi="Times New Roman" w:cs="Times New Roman"/>
                <w:sz w:val="28"/>
                <w:szCs w:val="28"/>
              </w:rPr>
              <w:t xml:space="preserve">сы которых затрагиваются при рассмотрении принятых Дисциплинарной комиссией Партнерства к рассмотрению вопросов. Неявка без уважительных причин указанных лиц, в случае их надлежащего извещения, на заседание Дисциплинарной комиссии Партнерства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 является основанием для пере</w:t>
            </w:r>
            <w:r w:rsidRPr="00425ED7">
              <w:rPr>
                <w:rFonts w:ascii="Times New Roman" w:hAnsi="Times New Roman" w:cs="Times New Roman"/>
                <w:sz w:val="28"/>
                <w:szCs w:val="28"/>
              </w:rPr>
              <w:t xml:space="preserve">носа заседания или отказа </w:t>
            </w:r>
            <w:proofErr w:type="gramStart"/>
            <w:r w:rsidRPr="00425ED7">
              <w:rPr>
                <w:rFonts w:ascii="Times New Roman" w:hAnsi="Times New Roman" w:cs="Times New Roman"/>
                <w:sz w:val="28"/>
                <w:szCs w:val="28"/>
              </w:rPr>
              <w:t>в  рассмотрении</w:t>
            </w:r>
            <w:proofErr w:type="gramEnd"/>
            <w:r w:rsidRPr="00425ED7">
              <w:rPr>
                <w:rFonts w:ascii="Times New Roman" w:hAnsi="Times New Roman" w:cs="Times New Roman"/>
                <w:sz w:val="28"/>
                <w:szCs w:val="28"/>
              </w:rPr>
              <w:t xml:space="preserve"> вопроса, если толь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 членами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Дисциплинарной комис</w:t>
            </w:r>
            <w:r w:rsidRPr="00425ED7">
              <w:rPr>
                <w:rFonts w:ascii="Times New Roman" w:hAnsi="Times New Roman" w:cs="Times New Roman"/>
                <w:sz w:val="28"/>
                <w:szCs w:val="28"/>
              </w:rPr>
              <w:t>сии Партнерства не будет определено иное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425ED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25ED7" w:rsidRDefault="00425ED7" w:rsidP="00425E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ED7" w:rsidRDefault="00100ED3" w:rsidP="00425E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425ED7">
              <w:rPr>
                <w:rFonts w:ascii="Times New Roman" w:hAnsi="Times New Roman" w:cs="Times New Roman"/>
                <w:sz w:val="28"/>
                <w:szCs w:val="28"/>
              </w:rPr>
              <w:t xml:space="preserve">) П. 11.3 изложить в следующей редакции: </w:t>
            </w:r>
          </w:p>
          <w:p w:rsidR="00425ED7" w:rsidRDefault="00425ED7" w:rsidP="00425E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25ED7">
              <w:rPr>
                <w:rFonts w:ascii="Times New Roman" w:hAnsi="Times New Roman" w:cs="Times New Roman"/>
                <w:sz w:val="28"/>
                <w:szCs w:val="28"/>
              </w:rPr>
              <w:t>Дисциплинарная комиссия Партнерства принимает решения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назначении дисциплинарных нака</w:t>
            </w:r>
            <w:r w:rsidRPr="00425ED7">
              <w:rPr>
                <w:rFonts w:ascii="Times New Roman" w:hAnsi="Times New Roman" w:cs="Times New Roman"/>
                <w:sz w:val="28"/>
                <w:szCs w:val="28"/>
              </w:rPr>
              <w:t>заний, предусмотренных п.3.3. настоящего Положения простым большинством голосов присутствующих и участвующих в голосовании членов Дисциплинарн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ой комиссии Партнерства при усло</w:t>
            </w:r>
            <w:r w:rsidRPr="00425ED7">
              <w:rPr>
                <w:rFonts w:ascii="Times New Roman" w:hAnsi="Times New Roman" w:cs="Times New Roman"/>
                <w:sz w:val="28"/>
                <w:szCs w:val="28"/>
              </w:rPr>
              <w:t>вии присутствия 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менее 3 (трех) членов Комиссии».</w:t>
            </w:r>
          </w:p>
          <w:p w:rsidR="00425ED7" w:rsidRDefault="00425ED7" w:rsidP="00425E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ED7" w:rsidRDefault="00425ED7" w:rsidP="00425E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5) в п. 11.5 Положения исключить слова «</w:t>
            </w:r>
            <w:r w:rsidRPr="00425ED7">
              <w:rPr>
                <w:rFonts w:ascii="Times New Roman" w:hAnsi="Times New Roman" w:cs="Times New Roman"/>
                <w:sz w:val="28"/>
                <w:szCs w:val="28"/>
              </w:rPr>
              <w:t>и членами Дисциплинарной комиссии, принимавшими участии в рассмотрении соответствующего дела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425ED7" w:rsidRDefault="00425ED7" w:rsidP="00425E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ED7" w:rsidRDefault="00425ED7" w:rsidP="00425E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6) п. 11.6 изложить в следующей редакции:</w:t>
            </w:r>
          </w:p>
          <w:p w:rsidR="00425ED7" w:rsidRDefault="00425ED7" w:rsidP="00425E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ED7" w:rsidRDefault="00425ED7" w:rsidP="00425E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25ED7">
              <w:rPr>
                <w:rFonts w:ascii="Times New Roman" w:hAnsi="Times New Roman" w:cs="Times New Roman"/>
                <w:sz w:val="28"/>
                <w:szCs w:val="28"/>
              </w:rPr>
              <w:t>Решения о применении мер дисциплинарного воздействия напр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авляются заказным письмом с уве</w:t>
            </w:r>
            <w:r w:rsidRPr="00425ED7">
              <w:rPr>
                <w:rFonts w:ascii="Times New Roman" w:hAnsi="Times New Roman" w:cs="Times New Roman"/>
                <w:sz w:val="28"/>
                <w:szCs w:val="28"/>
              </w:rPr>
              <w:t>домлением о вручении заинтересованным лицам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либо по электронной почте по адресу, казанному членом Партнерства в документах, предоставляемых им в Партнерство</w:t>
            </w:r>
            <w:r w:rsidRPr="00425ED7">
              <w:rPr>
                <w:rFonts w:ascii="Times New Roman" w:hAnsi="Times New Roman" w:cs="Times New Roman"/>
                <w:sz w:val="28"/>
                <w:szCs w:val="28"/>
              </w:rPr>
              <w:t>, 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бо вручаются под роспись в срок 5</w:t>
            </w:r>
            <w:r w:rsidRPr="00425ED7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пять</w:t>
            </w:r>
            <w:r w:rsidRPr="00425ED7">
              <w:rPr>
                <w:rFonts w:ascii="Times New Roman" w:hAnsi="Times New Roman" w:cs="Times New Roman"/>
                <w:sz w:val="28"/>
                <w:szCs w:val="28"/>
              </w:rPr>
              <w:t>) рабочих дн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425ED7">
              <w:rPr>
                <w:rFonts w:ascii="Times New Roman" w:hAnsi="Times New Roman" w:cs="Times New Roman"/>
                <w:sz w:val="28"/>
                <w:szCs w:val="28"/>
              </w:rPr>
              <w:t xml:space="preserve"> с момента изготовления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окончательной письменной форме».</w:t>
            </w:r>
          </w:p>
          <w:p w:rsidR="00100ED3" w:rsidRDefault="00100ED3" w:rsidP="00425E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0ED3" w:rsidRDefault="00100ED3" w:rsidP="00425E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7) Слова «14 (четырнадцати)» заменить словами «</w:t>
            </w:r>
            <w:r w:rsidR="00E47B90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 (тридцати)»</w:t>
            </w:r>
          </w:p>
          <w:p w:rsidR="0048379F" w:rsidRDefault="0048379F" w:rsidP="00F12F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2F8E" w:rsidRDefault="00F12F8E" w:rsidP="00F12F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8)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«д» п. 3.3 изложить в следующей редакции: «направление в Коллегию Партнерства ходатайства о рассмотрении вопроса об исключении из членов Партнерства».</w:t>
            </w:r>
          </w:p>
          <w:p w:rsidR="00F12F8E" w:rsidRDefault="00F12F8E" w:rsidP="00F12F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2F8E" w:rsidRDefault="00F12F8E" w:rsidP="00F12F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9) в п. 3.4 исключить текст «</w:t>
            </w:r>
            <w:r w:rsidRPr="00F12F8E">
              <w:rPr>
                <w:rFonts w:ascii="Times New Roman" w:hAnsi="Times New Roman" w:cs="Times New Roman"/>
                <w:sz w:val="28"/>
                <w:szCs w:val="28"/>
              </w:rPr>
              <w:t>По результатам такой проверки Дисциплинарная комиссия принимает решение о направлении в Коллегию Партнерства ходатайства о возобновлении действия Свидетельства, в отношении определенного вида или видов работ либо об отказе в таком возобновлении с указанием причин принятия этого решения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</w:tr>
      <w:tr w:rsidR="001432EE" w:rsidTr="001432EE">
        <w:trPr>
          <w:trHeight w:val="1077"/>
        </w:trPr>
        <w:tc>
          <w:tcPr>
            <w:tcW w:w="485" w:type="dxa"/>
            <w:vMerge w:val="restart"/>
          </w:tcPr>
          <w:p w:rsidR="001432EE" w:rsidRDefault="001432EE" w:rsidP="00DA78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3768" w:type="dxa"/>
            <w:vMerge w:val="restart"/>
          </w:tcPr>
          <w:p w:rsidR="001432EE" w:rsidRPr="00100ED3" w:rsidRDefault="001432EE" w:rsidP="00A61A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0ED3">
              <w:rPr>
                <w:rFonts w:ascii="Times New Roman" w:hAnsi="Times New Roman" w:cs="Times New Roman"/>
                <w:sz w:val="28"/>
                <w:szCs w:val="28"/>
              </w:rPr>
              <w:t>Дисциплинарный регламент</w:t>
            </w:r>
          </w:p>
          <w:p w:rsidR="001432EE" w:rsidRPr="00197E49" w:rsidRDefault="001432EE" w:rsidP="00A61A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0ED3">
              <w:rPr>
                <w:rFonts w:ascii="Times New Roman" w:hAnsi="Times New Roman" w:cs="Times New Roman"/>
                <w:sz w:val="28"/>
                <w:szCs w:val="28"/>
              </w:rPr>
              <w:t>Некоммерческого партнерства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Саморегулируемой организации </w:t>
            </w:r>
            <w:r w:rsidRPr="00100ED3">
              <w:rPr>
                <w:rFonts w:ascii="Times New Roman" w:hAnsi="Times New Roman" w:cs="Times New Roman"/>
                <w:sz w:val="28"/>
                <w:szCs w:val="28"/>
              </w:rPr>
              <w:t>«Проектный комплекс «Нижняя Волга»</w:t>
            </w:r>
          </w:p>
        </w:tc>
        <w:tc>
          <w:tcPr>
            <w:tcW w:w="3969" w:type="dxa"/>
            <w:vMerge w:val="restart"/>
          </w:tcPr>
          <w:p w:rsidR="001432EE" w:rsidRDefault="001432EE" w:rsidP="00197E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 П. 2.4.3 по тексту Регламента</w:t>
            </w:r>
          </w:p>
          <w:p w:rsidR="001432EE" w:rsidRDefault="001432EE" w:rsidP="00197E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32EE" w:rsidRDefault="001432EE" w:rsidP="00197E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32EE" w:rsidRDefault="001432EE" w:rsidP="00197E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32EE" w:rsidRDefault="001432EE" w:rsidP="00197E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32EE" w:rsidRDefault="001432EE" w:rsidP="00197E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32EE" w:rsidRDefault="001432EE" w:rsidP="00197E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32EE" w:rsidRDefault="001432EE" w:rsidP="00197E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32EE" w:rsidRDefault="001432EE" w:rsidP="00197E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32EE" w:rsidRDefault="001432EE" w:rsidP="00197E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 П. 2.5.1 по тексту Регламента</w:t>
            </w:r>
          </w:p>
          <w:p w:rsidR="001432EE" w:rsidRDefault="001432EE" w:rsidP="00197E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32EE" w:rsidRDefault="001432EE" w:rsidP="00197E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 п. 2.5.3 по тексту Регламента</w:t>
            </w:r>
          </w:p>
          <w:p w:rsidR="001432EE" w:rsidRDefault="001432EE" w:rsidP="00197E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32EE" w:rsidRDefault="001432EE" w:rsidP="00197E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 Раздел 3 «Основания для применения мер дисциплинарного воздействия»</w:t>
            </w:r>
          </w:p>
          <w:p w:rsidR="001432EE" w:rsidRDefault="001432EE" w:rsidP="00197E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Строка 13 – по тексту Регламента</w:t>
            </w:r>
          </w:p>
          <w:p w:rsidR="001432EE" w:rsidRDefault="001432EE" w:rsidP="00197E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32EE" w:rsidRDefault="001432EE" w:rsidP="00197E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5) Строка 7 по тексту Регламента</w:t>
            </w:r>
          </w:p>
          <w:p w:rsidR="001432EE" w:rsidRDefault="001432EE" w:rsidP="00197E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32EE" w:rsidRDefault="001432EE" w:rsidP="00197E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6) строка 19.1 – по тексту Регламента отсутствует </w:t>
            </w:r>
          </w:p>
          <w:p w:rsidR="000A5564" w:rsidRDefault="000A5564" w:rsidP="00197E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5564" w:rsidRDefault="000A5564" w:rsidP="00197E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5564" w:rsidRDefault="000A5564" w:rsidP="00197E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5564" w:rsidRDefault="000A5564" w:rsidP="00197E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5564" w:rsidRDefault="000A5564" w:rsidP="00197E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5564" w:rsidRDefault="000A5564" w:rsidP="00197E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5564" w:rsidRDefault="000A5564" w:rsidP="00197E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5564" w:rsidRDefault="000A5564" w:rsidP="00197E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5564" w:rsidRDefault="000A5564" w:rsidP="00197E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7) п. 6.1 по тексту Регламента</w:t>
            </w:r>
          </w:p>
        </w:tc>
        <w:tc>
          <w:tcPr>
            <w:tcW w:w="7221" w:type="dxa"/>
            <w:gridSpan w:val="5"/>
          </w:tcPr>
          <w:p w:rsidR="001432EE" w:rsidRDefault="001432EE" w:rsidP="00A61A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1) изложить в следующей редакции: «</w:t>
            </w:r>
            <w:r w:rsidRPr="00A61ACD">
              <w:rPr>
                <w:rFonts w:ascii="Times New Roman" w:hAnsi="Times New Roman" w:cs="Times New Roman"/>
                <w:sz w:val="28"/>
                <w:szCs w:val="28"/>
              </w:rPr>
              <w:t>срок, устанавливаемый в предписании для устранения выявленных нарушений, не может прев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ышать тридцати календарных дней, который</w:t>
            </w:r>
            <w:r w:rsidRPr="00A61ACD">
              <w:rPr>
                <w:rFonts w:ascii="Times New Roman" w:hAnsi="Times New Roman" w:cs="Times New Roman"/>
                <w:sz w:val="28"/>
                <w:szCs w:val="28"/>
              </w:rPr>
              <w:t xml:space="preserve"> может быть продлен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 срок, не превышающий 30</w:t>
            </w:r>
            <w:r w:rsidR="00E47B90">
              <w:rPr>
                <w:rFonts w:ascii="Times New Roman" w:hAnsi="Times New Roman" w:cs="Times New Roman"/>
                <w:sz w:val="28"/>
                <w:szCs w:val="28"/>
              </w:rPr>
              <w:t xml:space="preserve"> календарных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дней, </w:t>
            </w:r>
            <w:r w:rsidRPr="00A61ACD">
              <w:rPr>
                <w:rFonts w:ascii="Times New Roman" w:hAnsi="Times New Roman" w:cs="Times New Roman"/>
                <w:sz w:val="28"/>
                <w:szCs w:val="28"/>
              </w:rPr>
              <w:t>по решению Председателя Дисциплинарной комиссии на основании заявления члена Партнерства с указанием мотивированных причин невозможности устранить нарушения в установленный срок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1432EE" w:rsidRDefault="001432EE" w:rsidP="00A61A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32EE" w:rsidRDefault="001432EE" w:rsidP="00A61A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 Дополнить последнее предложение словами «указанные сроки не могут превышать 60 календарных дней».</w:t>
            </w:r>
          </w:p>
          <w:p w:rsidR="001432EE" w:rsidRDefault="001432EE" w:rsidP="00A61A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32EE" w:rsidRDefault="001432EE" w:rsidP="00A61A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3) исключить слова </w:t>
            </w:r>
            <w:r w:rsidRPr="00A61ACD">
              <w:rPr>
                <w:rFonts w:ascii="Times New Roman" w:hAnsi="Times New Roman" w:cs="Times New Roman"/>
                <w:sz w:val="28"/>
                <w:szCs w:val="28"/>
              </w:rPr>
              <w:t>(как правило, приостановление действия Свидетельства)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432EE" w:rsidRDefault="001432EE" w:rsidP="00A61A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32EE" w:rsidRDefault="001432EE" w:rsidP="00A61A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 в строке 13 исключить слова «предписанию или»</w:t>
            </w:r>
          </w:p>
          <w:p w:rsidR="001432EE" w:rsidRDefault="001432EE" w:rsidP="00A61A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32EE" w:rsidRDefault="001432EE" w:rsidP="00A61A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32EE" w:rsidRDefault="001432EE" w:rsidP="00A61A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32EE" w:rsidRDefault="001432EE" w:rsidP="00A61A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32EE" w:rsidRDefault="001432EE" w:rsidP="00A61A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32EE" w:rsidRDefault="001432EE" w:rsidP="00A61A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32EE" w:rsidRDefault="001432EE" w:rsidP="00A61A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5) Исключить слова «</w:t>
            </w:r>
            <w:r w:rsidRPr="001432EE">
              <w:rPr>
                <w:rFonts w:ascii="Times New Roman" w:hAnsi="Times New Roman" w:cs="Times New Roman"/>
                <w:sz w:val="28"/>
                <w:szCs w:val="28"/>
              </w:rPr>
              <w:t>СТО-ДР-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2012 «Дисциплинарный регламент»»</w:t>
            </w:r>
          </w:p>
          <w:p w:rsidR="001432EE" w:rsidRDefault="001432EE" w:rsidP="00A61A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32EE" w:rsidRDefault="001432EE" w:rsidP="001432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6)</w:t>
            </w:r>
            <w:r w:rsidR="00F12F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Дополнить новой строкой 19.1 следующего содержания:</w:t>
            </w:r>
          </w:p>
        </w:tc>
      </w:tr>
      <w:tr w:rsidR="001432EE" w:rsidTr="001432EE">
        <w:trPr>
          <w:gridAfter w:val="1"/>
          <w:wAfter w:w="16" w:type="dxa"/>
          <w:trHeight w:val="731"/>
        </w:trPr>
        <w:tc>
          <w:tcPr>
            <w:tcW w:w="485" w:type="dxa"/>
            <w:vMerge/>
          </w:tcPr>
          <w:p w:rsidR="001432EE" w:rsidRDefault="001432EE" w:rsidP="00DA78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68" w:type="dxa"/>
            <w:vMerge/>
          </w:tcPr>
          <w:p w:rsidR="001432EE" w:rsidRPr="00100ED3" w:rsidRDefault="001432EE" w:rsidP="00A61A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1432EE" w:rsidRDefault="001432EE" w:rsidP="00197E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1" w:type="dxa"/>
          </w:tcPr>
          <w:p w:rsidR="001432EE" w:rsidRDefault="001432EE" w:rsidP="00A61A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</w:t>
            </w:r>
          </w:p>
        </w:tc>
        <w:tc>
          <w:tcPr>
            <w:tcW w:w="2290" w:type="dxa"/>
          </w:tcPr>
          <w:p w:rsidR="001432EE" w:rsidRDefault="001432EE" w:rsidP="00A61A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32EE">
              <w:rPr>
                <w:rFonts w:ascii="Times New Roman" w:hAnsi="Times New Roman" w:cs="Times New Roman"/>
                <w:sz w:val="28"/>
                <w:szCs w:val="28"/>
              </w:rPr>
              <w:t>Однократные неуплата, несвоевременная или неполная уплата в течение одного года поквартальных членских взносов</w:t>
            </w:r>
          </w:p>
        </w:tc>
        <w:tc>
          <w:tcPr>
            <w:tcW w:w="2327" w:type="dxa"/>
          </w:tcPr>
          <w:p w:rsidR="001432EE" w:rsidRPr="001432EE" w:rsidRDefault="001432EE" w:rsidP="001432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32EE">
              <w:rPr>
                <w:rFonts w:ascii="Times New Roman" w:hAnsi="Times New Roman" w:cs="Times New Roman"/>
                <w:sz w:val="28"/>
                <w:szCs w:val="28"/>
              </w:rPr>
              <w:t>Ст. 55.5., 55.13. ГрК РФ;</w:t>
            </w:r>
          </w:p>
          <w:p w:rsidR="001432EE" w:rsidRPr="001432EE" w:rsidRDefault="001432EE" w:rsidP="001432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32EE">
              <w:rPr>
                <w:rFonts w:ascii="Times New Roman" w:hAnsi="Times New Roman" w:cs="Times New Roman"/>
                <w:sz w:val="28"/>
                <w:szCs w:val="28"/>
              </w:rPr>
              <w:t>Устав НП ПКНВ;</w:t>
            </w:r>
          </w:p>
          <w:p w:rsidR="001432EE" w:rsidRDefault="001432EE" w:rsidP="001432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32EE">
              <w:rPr>
                <w:rFonts w:ascii="Times New Roman" w:hAnsi="Times New Roman" w:cs="Times New Roman"/>
                <w:sz w:val="28"/>
                <w:szCs w:val="28"/>
              </w:rPr>
              <w:t>«Положение о членстве в НП НКНВ»</w:t>
            </w:r>
          </w:p>
        </w:tc>
        <w:tc>
          <w:tcPr>
            <w:tcW w:w="1617" w:type="dxa"/>
          </w:tcPr>
          <w:p w:rsidR="001432EE" w:rsidRPr="001432EE" w:rsidRDefault="001432EE" w:rsidP="001432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2EE">
              <w:rPr>
                <w:rFonts w:ascii="Times New Roman" w:hAnsi="Times New Roman"/>
                <w:sz w:val="28"/>
                <w:szCs w:val="28"/>
                <w:lang w:eastAsia="ar-SA"/>
              </w:rPr>
              <w:t>-//-</w:t>
            </w:r>
          </w:p>
        </w:tc>
      </w:tr>
      <w:tr w:rsidR="001432EE" w:rsidTr="001432EE">
        <w:trPr>
          <w:trHeight w:val="158"/>
        </w:trPr>
        <w:tc>
          <w:tcPr>
            <w:tcW w:w="485" w:type="dxa"/>
            <w:vMerge/>
          </w:tcPr>
          <w:p w:rsidR="001432EE" w:rsidRDefault="001432EE" w:rsidP="00DA78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68" w:type="dxa"/>
            <w:vMerge/>
          </w:tcPr>
          <w:p w:rsidR="001432EE" w:rsidRPr="00100ED3" w:rsidRDefault="001432EE" w:rsidP="00A61A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1432EE" w:rsidRDefault="001432EE" w:rsidP="00197E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1" w:type="dxa"/>
            <w:gridSpan w:val="5"/>
          </w:tcPr>
          <w:p w:rsidR="001432EE" w:rsidRPr="001432EE" w:rsidRDefault="000A5564" w:rsidP="000A5564">
            <w:pPr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7) п. 6.1 исключить</w:t>
            </w:r>
          </w:p>
        </w:tc>
      </w:tr>
      <w:tr w:rsidR="0039342F" w:rsidTr="001432EE">
        <w:tc>
          <w:tcPr>
            <w:tcW w:w="485" w:type="dxa"/>
          </w:tcPr>
          <w:p w:rsidR="0039342F" w:rsidRDefault="0039342F" w:rsidP="00DA78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768" w:type="dxa"/>
          </w:tcPr>
          <w:p w:rsidR="0039342F" w:rsidRDefault="0039342F" w:rsidP="00DA78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Положение о Ревизионной комиссии</w:t>
            </w:r>
          </w:p>
        </w:tc>
        <w:tc>
          <w:tcPr>
            <w:tcW w:w="3969" w:type="dxa"/>
          </w:tcPr>
          <w:p w:rsidR="0039342F" w:rsidRDefault="001432EE" w:rsidP="00DA78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5.1 Положения</w:t>
            </w:r>
          </w:p>
        </w:tc>
        <w:tc>
          <w:tcPr>
            <w:tcW w:w="7221" w:type="dxa"/>
            <w:gridSpan w:val="5"/>
          </w:tcPr>
          <w:p w:rsidR="0039342F" w:rsidRDefault="001432EE" w:rsidP="00DA78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Заменить слова «1 год» словами «2 (два) года»</w:t>
            </w:r>
          </w:p>
        </w:tc>
      </w:tr>
      <w:tr w:rsidR="0039342F" w:rsidTr="001432EE">
        <w:tc>
          <w:tcPr>
            <w:tcW w:w="485" w:type="dxa"/>
          </w:tcPr>
          <w:p w:rsidR="0039342F" w:rsidRDefault="0039342F" w:rsidP="00DA78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3768" w:type="dxa"/>
          </w:tcPr>
          <w:p w:rsidR="0039342F" w:rsidRDefault="0039342F" w:rsidP="00DA78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Положение о компенсационном фонде</w:t>
            </w:r>
          </w:p>
        </w:tc>
        <w:tc>
          <w:tcPr>
            <w:tcW w:w="3969" w:type="dxa"/>
          </w:tcPr>
          <w:p w:rsidR="00B273A8" w:rsidRDefault="00B273A8" w:rsidP="00B2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10 по тексту Положения</w:t>
            </w:r>
          </w:p>
        </w:tc>
        <w:tc>
          <w:tcPr>
            <w:tcW w:w="7221" w:type="dxa"/>
            <w:gridSpan w:val="5"/>
          </w:tcPr>
          <w:p w:rsidR="0039342F" w:rsidRDefault="00B273A8" w:rsidP="00DA78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10 Положения изложить в следующей редакции:</w:t>
            </w:r>
          </w:p>
          <w:p w:rsidR="00B273A8" w:rsidRPr="00B273A8" w:rsidRDefault="00B273A8" w:rsidP="00B2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«10. </w:t>
            </w:r>
            <w:r w:rsidRPr="00B273A8">
              <w:rPr>
                <w:rFonts w:ascii="Times New Roman" w:hAnsi="Times New Roman" w:cs="Times New Roman"/>
                <w:sz w:val="28"/>
                <w:szCs w:val="28"/>
              </w:rPr>
              <w:t xml:space="preserve">Не допускается осуществление выплат из средств компенсационного фонда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Партнерства</w:t>
            </w:r>
            <w:r w:rsidRPr="00B273A8">
              <w:rPr>
                <w:rFonts w:ascii="Times New Roman" w:hAnsi="Times New Roman" w:cs="Times New Roman"/>
                <w:sz w:val="28"/>
                <w:szCs w:val="28"/>
              </w:rPr>
              <w:t xml:space="preserve">, за исключением случаев, предусмотренных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действующим законодательством</w:t>
            </w:r>
            <w:r w:rsidRPr="00B273A8">
              <w:rPr>
                <w:rFonts w:ascii="Times New Roman" w:hAnsi="Times New Roman" w:cs="Times New Roman"/>
                <w:sz w:val="28"/>
                <w:szCs w:val="28"/>
              </w:rPr>
              <w:t>, а также следующих случаев:</w:t>
            </w:r>
          </w:p>
          <w:p w:rsidR="00B273A8" w:rsidRPr="00B273A8" w:rsidRDefault="00B273A8" w:rsidP="00B2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3A8">
              <w:rPr>
                <w:rFonts w:ascii="Times New Roman" w:hAnsi="Times New Roman" w:cs="Times New Roman"/>
                <w:sz w:val="28"/>
                <w:szCs w:val="28"/>
              </w:rPr>
              <w:t>1) возврат ошибочно перечисленных средств;</w:t>
            </w:r>
          </w:p>
          <w:p w:rsidR="00B273A8" w:rsidRPr="00B273A8" w:rsidRDefault="00B273A8" w:rsidP="00B2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3A8">
              <w:rPr>
                <w:rFonts w:ascii="Times New Roman" w:hAnsi="Times New Roman" w:cs="Times New Roman"/>
                <w:sz w:val="28"/>
                <w:szCs w:val="28"/>
              </w:rPr>
              <w:t>2) размещение средств компенсационного фонда саморегулируемой организации в целях его сохранения и увеличения его размера;</w:t>
            </w:r>
          </w:p>
          <w:p w:rsidR="00B273A8" w:rsidRDefault="00B273A8" w:rsidP="00B2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3A8">
              <w:rPr>
                <w:rFonts w:ascii="Times New Roman" w:hAnsi="Times New Roman" w:cs="Times New Roman"/>
                <w:sz w:val="28"/>
                <w:szCs w:val="28"/>
              </w:rPr>
              <w:t xml:space="preserve">3) осуществление выплат в результате наступления солидарной ответственности, предусмотренной частью 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статьи 55.16 Градостроительного кодекса РФ».</w:t>
            </w:r>
          </w:p>
        </w:tc>
      </w:tr>
      <w:tr w:rsidR="0039342F" w:rsidTr="001432EE">
        <w:tc>
          <w:tcPr>
            <w:tcW w:w="485" w:type="dxa"/>
          </w:tcPr>
          <w:p w:rsidR="0039342F" w:rsidRDefault="0039342F" w:rsidP="00DA78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768" w:type="dxa"/>
          </w:tcPr>
          <w:p w:rsidR="0039342F" w:rsidRDefault="00B273A8" w:rsidP="00DA78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Положения</w:t>
            </w:r>
            <w:r w:rsidR="0039342F">
              <w:rPr>
                <w:rFonts w:ascii="Times New Roman" w:hAnsi="Times New Roman" w:cs="Times New Roman"/>
                <w:sz w:val="28"/>
                <w:szCs w:val="28"/>
              </w:rPr>
              <w:t xml:space="preserve"> об информационной открытости и анализе деятельности членов Партнерства на основании отчетов</w:t>
            </w:r>
          </w:p>
        </w:tc>
        <w:tc>
          <w:tcPr>
            <w:tcW w:w="3969" w:type="dxa"/>
          </w:tcPr>
          <w:p w:rsidR="0039342F" w:rsidRDefault="0039342F" w:rsidP="00DA78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1" w:type="dxa"/>
            <w:gridSpan w:val="5"/>
          </w:tcPr>
          <w:p w:rsidR="0039342F" w:rsidRDefault="0039342F" w:rsidP="00DA78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342F" w:rsidTr="001432EE">
        <w:tc>
          <w:tcPr>
            <w:tcW w:w="485" w:type="dxa"/>
          </w:tcPr>
          <w:p w:rsidR="0039342F" w:rsidRDefault="0039342F" w:rsidP="00DA78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768" w:type="dxa"/>
          </w:tcPr>
          <w:p w:rsidR="0039342F" w:rsidRDefault="0039342F" w:rsidP="00DA78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Требования о выдаче свидетельств о допуске к работам</w:t>
            </w:r>
          </w:p>
        </w:tc>
        <w:tc>
          <w:tcPr>
            <w:tcW w:w="3969" w:type="dxa"/>
          </w:tcPr>
          <w:p w:rsidR="0039342F" w:rsidRDefault="0039342F" w:rsidP="00DA78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1" w:type="dxa"/>
            <w:gridSpan w:val="5"/>
          </w:tcPr>
          <w:p w:rsidR="0039342F" w:rsidRDefault="00B273A8" w:rsidP="00DA78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Принять в новой редакции</w:t>
            </w:r>
          </w:p>
        </w:tc>
      </w:tr>
    </w:tbl>
    <w:p w:rsidR="00C210F5" w:rsidRPr="00F50E21" w:rsidRDefault="00C210F5" w:rsidP="00C210F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70BB8" w:rsidRDefault="00E70BB8"/>
    <w:sectPr w:rsidR="00E70BB8" w:rsidSect="00C210F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0F5"/>
    <w:rsid w:val="000A5564"/>
    <w:rsid w:val="00100ED3"/>
    <w:rsid w:val="001432EE"/>
    <w:rsid w:val="00197E49"/>
    <w:rsid w:val="0039342F"/>
    <w:rsid w:val="0041146C"/>
    <w:rsid w:val="00425ED7"/>
    <w:rsid w:val="0048379F"/>
    <w:rsid w:val="005404D9"/>
    <w:rsid w:val="006144C1"/>
    <w:rsid w:val="007345A6"/>
    <w:rsid w:val="0087250F"/>
    <w:rsid w:val="00A61ACD"/>
    <w:rsid w:val="00B273A8"/>
    <w:rsid w:val="00C210F5"/>
    <w:rsid w:val="00DA1B89"/>
    <w:rsid w:val="00DE4545"/>
    <w:rsid w:val="00E47B90"/>
    <w:rsid w:val="00E70BB8"/>
    <w:rsid w:val="00F12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FDB14"/>
  <w15:chartTrackingRefBased/>
  <w15:docId w15:val="{E290157D-96C8-487F-940C-E3EB23AE7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0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10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210F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114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114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78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7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1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1519</Words>
  <Characters>8659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Rinpoche Nagual</dc:creator>
  <cp:keywords/>
  <dc:description/>
  <cp:lastModifiedBy>Rinpoche Nagual</cp:lastModifiedBy>
  <cp:revision>3</cp:revision>
  <cp:lastPrinted>2015-12-11T06:59:00Z</cp:lastPrinted>
  <dcterms:created xsi:type="dcterms:W3CDTF">2015-12-17T07:48:00Z</dcterms:created>
  <dcterms:modified xsi:type="dcterms:W3CDTF">2015-12-17T07:49:00Z</dcterms:modified>
</cp:coreProperties>
</file>