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ind w:left="0" w:firstLine="0"/>
        <w:contextualSpacing w:val="0"/>
        <w:sectPr>
          <w:pgSz w:h="16838" w:w="11906"/>
          <w:pgMar w:bottom="566.9291338582677" w:top="1133.8582677165355" w:left="1700.7874015748032" w:right="850.3937007874016" w:head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УТВЕРЖДАЮ»</w:t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Ректор</w:t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Волгоградского Государственного</w:t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Технического Университета</w:t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_______________В.И. Лысак</w:t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</w:t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  <w:sectPr>
          <w:type w:val="continuous"/>
          <w:pgSz w:h="16838" w:w="11906"/>
          <w:pgMar w:bottom="566.9291338582677" w:top="1133.8582677165355" w:left="1700.7874015748032" w:right="850.3937007874016" w:header="0"/>
          <w:cols w:equalWidth="0" w:num="2">
            <w:col w:space="720" w:w="4317.16"/>
            <w:col w:space="0" w:w="4317.1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«____» ______________2017 г.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79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Положение об условиях проведения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на разработку концепции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амятного знака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Аллея России» 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Мемориальном парке у подножия Мамаева кургана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1.1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на разработку концепции «Памятного знака» «Аллея России» в Мемориальном парке у подножия Мамаева кургана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(далее - Конкурс) является открытым конкурсом в области архитектурно-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дизайнерского проектирования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проводится в целях  создания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амятного знака «Аллея России», призванного отобразить единство граждан Российской Федерации в деле увековечения памяти о подвиге советского народа в Сталинградской битве.  </w:t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Цель Конкурса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– получить в условиях конкурсной состязательности архитектурно-дизайнерские решения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амятного знака «Аллея России», отражающие требования к объекту, расположенному на территории, являющейся социально-ценностной доминантой как для граждан России, так и мира в целом,  и выявить лучшие проекты в соответствии с требованиями конкурсной документации. Данный проект призван способствовать формированию гражданского самосознания  и формированию территориальной идентичности.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Задачи Конкурса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Создание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амятного знака, отвечающего ценностным потребностям современного общества, учитывающего экологическое и социально-политическое значение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Мемориального парка у подножия Мамаева кургана;   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выявление и реализация лучших проектов с лучшей идеей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амятного знака «Аллея России» в Мемориальном парке у подножия Мамаева кургана.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72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Организатор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Настоящее положение определяет порядок организации и проведения архитектурного-дизайнерского конкурса на разработку концепции памятного знака, организованного Волгоградским государственным техническим университетом   (далее - Университет). </w:t>
      </w:r>
    </w:p>
    <w:p w:rsidR="00000000" w:rsidDel="00000000" w:rsidP="00000000" w:rsidRDefault="00000000" w:rsidRPr="00000000">
      <w:pPr>
        <w:spacing w:after="100" w:before="10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Организатор обеспечивает: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равные условия для участников Конкурса;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объективность и справедливость оценки;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компетентность экспертной комиссии;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информирование о проведении Конкурса через средства массовой информации и другие доступные средства;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установление и соблюдение сроков приема заявок на участие в Конкурсе, подведение его итогов;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контроль над соблюдением условий Конкурса;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награждение победителей Конкурса 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предоставление им финансовой поддержки;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методическое руководство и администрирование проведения Конкурса.</w:t>
      </w:r>
    </w:p>
    <w:p w:rsidR="00000000" w:rsidDel="00000000" w:rsidP="00000000" w:rsidRDefault="00000000" w:rsidRPr="00000000">
      <w:pPr>
        <w:spacing w:after="100" w:before="10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2.2. Экспертная комиссия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рассмотрения и оценки конкурсных проектов и определения победителей, Организатором сформирована экспертная комиссия (далее – Комиссия) из числа представителей Университета, Администрации Волгоградской области и Администрации города Волгоград. Состав Комиссии утверждает Ректор Университета.</w:t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Члены Комиссии принимают участие в работе Комиссии на общественных началах.</w:t>
      </w:r>
    </w:p>
    <w:p w:rsidR="00000000" w:rsidDel="00000000" w:rsidP="00000000" w:rsidRDefault="00000000" w:rsidRPr="00000000">
      <w:pPr>
        <w:spacing w:after="100" w:before="10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Основные задачи Комиссии: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организация и проведение Конкурса;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создание для участников Конкурса равных условий конкуренции через обеспечение объективности оценки представленных на Конкурс проектов;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определение победителей Конкурса.</w:t>
      </w:r>
    </w:p>
    <w:p w:rsidR="00000000" w:rsidDel="00000000" w:rsidP="00000000" w:rsidRDefault="00000000" w:rsidRPr="00000000">
      <w:pPr>
        <w:spacing w:after="100" w:before="100" w:line="276" w:lineRule="auto"/>
        <w:ind w:left="0"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Организация деятельности Комиссии: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руководство Комиссией осуществляет председатель Комиссии;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00" w:before="10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заседание Комиссии считается правомочным, если на нем присутствует более половины членов Комиссии.</w:t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 Участники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Конкурсе участвуют студенты, магистранты, аспиранты и молодые ученые (возраст до 35 лет);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Конкурса могут привлекать специалистов смежных профессий, которые необходимы для создания конкурсных проектов, за исключением Организатора Конкурса и членов Комиссии;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 Конкурса и члены Комиссии не могут принимать участие в Конкурсе или консультировать участников Конкурса.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 В рамках Конкурса не финансируются: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текущие расходы организации: заработная плата сотрудников (в том числе оплата труда привлеченных специалистов), аренда офиса, а также расходы по уже осуществленному или текущему проекту;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академические исследования;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прямая материальная и гуманитарная помощь;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проведение исследований и опросов;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профессиональная политическая деятельность; 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проведение митингов, демонстраций и пикетов;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издание рукописей в типографии (без иной деятельности);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производство компакт-дисков (без иной деятельности);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закупка оборудования, не требуемого для реализации проекта;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штрафы;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реклама; 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командировочные расходы.</w:t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 Сроки проведения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 проводится в период с 20 февраля по 10 марта 2017 года;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объявление Конкурса и начало приема заявок: 20 февраля 2017 года;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окончание приема заявок на Конкурс: 10 марта 2017 года.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заседание экспертной комиссии: 13–15 марта 2017 года.  </w:t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</w:tabs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6. Оценочные критерии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Критериями оценки при подведении итогов и определения победителей Конкурса являются: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социальная значимость и актуальность проектов;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реалистичность сроков выполнения проектов;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инновационность предложенных решений в сфере ландшафта и инженерно- строительных технологий;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оригинальность предлагаемых проектов;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эффективность предложенных проектов с точки зрения существующих технологий и возможностей их применения;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полнота и качество оформления проектных материалов, представленных на Конкурс;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композиционная целостность и законченность решений;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прочие факторы на усмотрение Комиссии.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 Порядок подачи заявок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участия в конкурсе необходимо заполнить заявку. Форма заявки приведена в Приложении 1 к настоящему Положению. 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Заявки принимаются по электронной почте организатора Конкурса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fagr@vgasu.ru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Размер сообщения не должен превышать 6 Мб.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Консультация участников Конкурса осуществляется по телефонам: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(8442) 96-99-75 – город Волгоград.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Заявки, поданные на Конкурс позже указанного срока окончания их приема, к регистрации не принимаются.</w:t>
      </w:r>
    </w:p>
    <w:p w:rsidR="00000000" w:rsidDel="00000000" w:rsidP="00000000" w:rsidRDefault="00000000" w:rsidRPr="00000000">
      <w:pPr>
        <w:spacing w:after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8. Основные требования к представляемым проектным материалам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Габаритный размер памятного знака «Аллея России» - не менее 1,5х1х0,5 метров (Высота х Ширина х Толщина).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Передача участником проекта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000000" w:rsidDel="00000000" w:rsidP="00000000" w:rsidRDefault="00000000" w:rsidRPr="00000000">
      <w:pPr>
        <w:spacing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Запрещается использование чужих проектов и/или дизайнерских решений (полностью или частично). В случае несоблюдения данного условия работа отстраняется от участия в Конкурсе.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9. Оценка проектов и определение победителей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Презентацию  проекта в формате PowerPoint или PDF участники присылают на электронную почту организатора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fagr@vgasu.ru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Официальная презентация Конкурсных проектов в присутствии членов Комиссии состоится в Университете.</w:t>
      </w:r>
    </w:p>
    <w:p w:rsidR="00000000" w:rsidDel="00000000" w:rsidP="00000000" w:rsidRDefault="00000000" w:rsidRPr="00000000">
      <w:pPr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Премиальный фонд Конкурса составляет 100 000 рублей (50 000 руб. за первое призовое место, 30 000 руб. за второе призовое место, 20 000 руб. за третье призовое место).  </w:t>
      </w:r>
    </w:p>
    <w:p w:rsidR="00000000" w:rsidDel="00000000" w:rsidP="00000000" w:rsidRDefault="00000000" w:rsidRPr="00000000">
      <w:pPr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Решение Комиссии принимается простым большинством голосов от числа присутствующих на заседании членов и оформляется протоколом. При равенстве голосов голос председателя Комиссии является решающим. </w:t>
      </w:r>
    </w:p>
    <w:p w:rsidR="00000000" w:rsidDel="00000000" w:rsidP="00000000" w:rsidRDefault="00000000" w:rsidRPr="00000000">
      <w:pPr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Объявление победителей Конкурса проектов с вручением наград пройдет на специально организованной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церемонии (ВолгГТУ ИАиС  г. Волгоград).</w:t>
      </w:r>
    </w:p>
    <w:p w:rsidR="00000000" w:rsidDel="00000000" w:rsidP="00000000" w:rsidRDefault="00000000" w:rsidRPr="00000000">
      <w:pPr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Награждение победителей Конкурса предусматривает вручение им Благодарственных грамот / Благодарственных писем от Администрации Волгоградской области и денежного поощрения.</w:t>
      </w:r>
    </w:p>
    <w:p w:rsidR="00000000" w:rsidDel="00000000" w:rsidP="00000000" w:rsidRDefault="00000000" w:rsidRPr="00000000">
      <w:pPr>
        <w:spacing w:after="100" w:before="100" w:line="276" w:lineRule="auto"/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10. Прочие условия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Работы победителей Конкурса получают организационную и информационную поддержку, а также могут быть использованы в целях: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00" w:before="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проведения рекламных кампаний Конкурса на территории Российской Федерации;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размещения в прессе, на наружных рекламных носителях и в сети Интернет;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проведения социальных информационных кампаний на информационных стендах организатора Конкурса в образовательных учреждениях Российской Федерации;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00" w:before="0" w:line="276" w:lineRule="auto"/>
        <w:ind w:left="1440" w:hanging="360"/>
        <w:contextualSpacing w:val="1"/>
        <w:jc w:val="both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использования в учебных целях, а также в методических и информационных изданиях.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Конкурсные работы должны сопровождаться официальным разрешением Конкурсанта на использование конкурсных проектов Компанией по форме согласно Приложению к Положению о Конкурсе. Без официального разрешения работы к Конкурсу не допускаются.</w:t>
      </w:r>
    </w:p>
    <w:p w:rsidR="00000000" w:rsidDel="00000000" w:rsidP="00000000" w:rsidRDefault="00000000" w:rsidRPr="00000000">
      <w:pPr>
        <w:spacing w:after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Настоящее Положение вступает в силу с момента его утверждения Организатором конкурса.</w:t>
      </w:r>
    </w:p>
    <w:sectPr>
      <w:type w:val="continuous"/>
      <w:pgSz w:h="16838" w:w="11906"/>
      <w:pgMar w:bottom="566.9291338582677" w:top="1133.8582677165355" w:left="1700.7874015748032" w:right="850.3937007874016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fagr@vgasu.ru" TargetMode="External"/><Relationship Id="rId6" Type="http://schemas.openxmlformats.org/officeDocument/2006/relationships/hyperlink" Target="mailto:fagr@vgasu.ru" TargetMode="External"/></Relationships>
</file>